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C2" w:rsidRDefault="00564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2B51C2" w:rsidRDefault="00564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4"/>
          <w:szCs w:val="24"/>
          <w:lang w:eastAsia="zh-CN"/>
        </w:rPr>
        <w:t>«ОКТЯБРЬСКАЯ ОСНОВНАЯ ОБЩЕОБРАЗОВАТЕЛЬНАЯ ШКОЛА»</w:t>
      </w:r>
    </w:p>
    <w:p w:rsidR="002B51C2" w:rsidRDefault="002B51C2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Cs/>
          <w:smallCaps/>
          <w:spacing w:val="5"/>
          <w:sz w:val="24"/>
          <w:szCs w:val="24"/>
          <w:lang w:eastAsia="zh-CN"/>
        </w:rPr>
      </w:pPr>
    </w:p>
    <w:p w:rsidR="002B51C2" w:rsidRDefault="0056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671302 Республика Бурятия</w:t>
      </w:r>
    </w:p>
    <w:p w:rsidR="002B51C2" w:rsidRDefault="0056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Заиграевский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п. Онохой-2                                                                      тел. 89240181950</w:t>
      </w:r>
    </w:p>
    <w:p w:rsidR="002B51C2" w:rsidRDefault="002B51C2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spacing w:val="5"/>
          <w:sz w:val="24"/>
          <w:szCs w:val="24"/>
          <w:lang w:eastAsia="zh-CN"/>
        </w:rPr>
      </w:pP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5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44"/>
        <w:gridCol w:w="4496"/>
      </w:tblGrid>
      <w:tr w:rsidR="002B51C2">
        <w:tc>
          <w:tcPr>
            <w:tcW w:w="4275" w:type="dxa"/>
            <w:shd w:val="clear" w:color="auto" w:fill="auto"/>
          </w:tcPr>
          <w:p w:rsidR="002B51C2" w:rsidRDefault="0056459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B51C2" w:rsidRDefault="0056459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МБОУ «Октябрьская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 27 марта 2024 г. № 15</w:t>
            </w:r>
            <w:proofErr w:type="gramEnd"/>
          </w:p>
        </w:tc>
        <w:tc>
          <w:tcPr>
            <w:tcW w:w="4424" w:type="dxa"/>
            <w:shd w:val="clear" w:color="auto" w:fill="auto"/>
          </w:tcPr>
          <w:p w:rsidR="002B51C2" w:rsidRDefault="0056459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BE61C9" wp14:editId="26BA38B5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-43815</wp:posOffset>
                  </wp:positionV>
                  <wp:extent cx="1669415" cy="1983105"/>
                  <wp:effectExtent l="0" t="0" r="6985" b="0"/>
                  <wp:wrapNone/>
                  <wp:docPr id="3" name="Рисунок 3" descr="C:\Users\User\Downloads\0_печать с подписью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0_печать с подписью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B51C2" w:rsidRDefault="00564592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                     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27 марта  2024 г.</w:t>
            </w:r>
          </w:p>
        </w:tc>
      </w:tr>
    </w:tbl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 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2B51C2" w:rsidRDefault="00564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2B51C2" w:rsidRDefault="00564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«Октябрьская ООШ»</w:t>
      </w: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сведения об образовательной организации</w:t>
      </w:r>
    </w:p>
    <w:tbl>
      <w:tblPr>
        <w:tblpPr w:leftFromText="180" w:rightFromText="180" w:tblpY="465"/>
        <w:tblW w:w="5000" w:type="pct"/>
        <w:tblInd w:w="-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6"/>
        <w:gridCol w:w="6079"/>
      </w:tblGrid>
      <w:tr w:rsidR="002B51C2">
        <w:tc>
          <w:tcPr>
            <w:tcW w:w="3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«Октябрьская основная общеобразовательная школа»</w:t>
            </w:r>
          </w:p>
        </w:tc>
      </w:tr>
      <w:tr w:rsidR="002B51C2">
        <w:tc>
          <w:tcPr>
            <w:tcW w:w="3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</w:tr>
      <w:tr w:rsidR="002B51C2">
        <w:tc>
          <w:tcPr>
            <w:tcW w:w="3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671302,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Онохой-2.</w:t>
            </w:r>
          </w:p>
        </w:tc>
      </w:tr>
      <w:tr w:rsidR="002B51C2">
        <w:tc>
          <w:tcPr>
            <w:tcW w:w="3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89240181950</w:t>
            </w:r>
          </w:p>
        </w:tc>
      </w:tr>
      <w:tr w:rsidR="002B51C2">
        <w:tc>
          <w:tcPr>
            <w:tcW w:w="3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school_onokhoy-2@govrb.ru</w:t>
            </w:r>
          </w:p>
        </w:tc>
      </w:tr>
      <w:tr w:rsidR="002B51C2">
        <w:tc>
          <w:tcPr>
            <w:tcW w:w="3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учредителя от имени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2B51C2">
        <w:tc>
          <w:tcPr>
            <w:tcW w:w="3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 год</w:t>
            </w:r>
          </w:p>
        </w:tc>
      </w:tr>
      <w:tr w:rsidR="002B51C2">
        <w:tc>
          <w:tcPr>
            <w:tcW w:w="3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30.12.2016  № 2724, серия 03 Л01 № 0001297</w:t>
            </w:r>
          </w:p>
        </w:tc>
      </w:tr>
      <w:tr w:rsidR="002B51C2">
        <w:tc>
          <w:tcPr>
            <w:tcW w:w="3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5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12.05.2015 № 1561, серия 03 А01 № 0001022</w:t>
            </w:r>
          </w:p>
        </w:tc>
      </w:tr>
    </w:tbl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«Октябрьская ООШ» (далее — Школа) расположена на территории военного городка п. Онохой-2.  Большинство семей обучающихся проживают в домах типовой застройки: 95 процентов — рядом со Школой, 5 процентов — в</w:t>
      </w:r>
      <w:r>
        <w:rPr>
          <w:rFonts w:ascii="Times New Roman" w:hAnsi="Times New Roman" w:cs="Times New Roman"/>
          <w:sz w:val="24"/>
          <w:szCs w:val="24"/>
        </w:rPr>
        <w:t> близлежащих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 и взрослых.</w:t>
      </w: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 Оценка образовательной деятельности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 Школе организуется в соответствии с </w:t>
      </w:r>
      <w:hyperlink r:id="rId7" w:anchor="/document/99/902389617/" w:history="1">
        <w:r>
          <w:rPr>
            <w:rFonts w:ascii="Times New Roman" w:hAnsi="Times New Roman" w:cs="Times New Roman"/>
            <w:sz w:val="24"/>
            <w:szCs w:val="24"/>
          </w:rPr>
          <w:t>Федеральным законо</w:t>
        </w:r>
        <w:r>
          <w:rPr>
            <w:rFonts w:ascii="Times New Roman" w:hAnsi="Times New Roman" w:cs="Times New Roman"/>
            <w:sz w:val="24"/>
            <w:szCs w:val="24"/>
          </w:rPr>
          <w:t>м от 29.12.2012 № 273-ФЗ</w:t>
        </w:r>
      </w:hyperlink>
      <w:r>
        <w:rPr>
          <w:rFonts w:ascii="Times New Roman" w:hAnsi="Times New Roman" w:cs="Times New Roman"/>
          <w:sz w:val="24"/>
          <w:szCs w:val="24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 01.09.2022 организовали обучение 1-</w:t>
      </w:r>
      <w:r>
        <w:rPr>
          <w:rFonts w:ascii="Times New Roman" w:hAnsi="Times New Roman" w:cs="Times New Roman"/>
          <w:sz w:val="24"/>
          <w:szCs w:val="24"/>
        </w:rPr>
        <w:t>х, 5-х классов по ООП, разработанным по обновленным ФГОС НОО, ООО.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Мониторинг показал,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</w:t>
      </w:r>
      <w:r>
        <w:rPr>
          <w:rFonts w:ascii="Times New Roman" w:hAnsi="Times New Roman" w:cs="Times New Roman"/>
          <w:sz w:val="24"/>
          <w:szCs w:val="24"/>
        </w:rPr>
        <w:t>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 01.01.2021 года Школа функционирует в соответствии с требованиями </w:t>
      </w:r>
      <w:hyperlink r:id="rId8" w:anchor="/document/99/566085656/" w:history="1">
        <w:r>
          <w:rPr>
            <w:rFonts w:ascii="Times New Roman" w:hAnsi="Times New Roman" w:cs="Times New Roman"/>
            <w:sz w:val="24"/>
            <w:szCs w:val="24"/>
          </w:rPr>
          <w:t>СП 2.4.3648-20</w:t>
        </w:r>
      </w:hyperlink>
      <w:r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</w:t>
      </w:r>
      <w:r>
        <w:rPr>
          <w:rFonts w:ascii="Times New Roman" w:hAnsi="Times New Roman" w:cs="Times New Roman"/>
          <w:sz w:val="24"/>
          <w:szCs w:val="24"/>
        </w:rPr>
        <w:t>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ведет работу по формированию здорового образа жизни и реализации технологий сбережения здоровья. Все учителя проводят совместно </w:t>
      </w:r>
      <w:r>
        <w:rPr>
          <w:rFonts w:ascii="Times New Roman" w:hAnsi="Times New Roman" w:cs="Times New Roman"/>
          <w:sz w:val="24"/>
          <w:szCs w:val="24"/>
        </w:rPr>
        <w:t>с 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августе 2022 года Школа провела детальный анализ документооборо</w:t>
      </w:r>
      <w:r>
        <w:rPr>
          <w:rFonts w:ascii="Times New Roman" w:hAnsi="Times New Roman" w:cs="Times New Roman"/>
          <w:sz w:val="24"/>
          <w:szCs w:val="24"/>
        </w:rPr>
        <w:t>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</w:t>
      </w:r>
      <w:r>
        <w:rPr>
          <w:rFonts w:ascii="Times New Roman" w:hAnsi="Times New Roman" w:cs="Times New Roman"/>
          <w:sz w:val="24"/>
          <w:szCs w:val="24"/>
        </w:rPr>
        <w:t xml:space="preserve">5 месяцев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обязательным предметам и курсам внеурочной де</w:t>
      </w:r>
      <w:r>
        <w:rPr>
          <w:rFonts w:ascii="Times New Roman" w:hAnsi="Times New Roman" w:cs="Times New Roman"/>
          <w:sz w:val="24"/>
          <w:szCs w:val="24"/>
        </w:rPr>
        <w:t>ятельности повысилась на 10% и 16% соответственно.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 об</w:t>
      </w:r>
      <w:r>
        <w:rPr>
          <w:rFonts w:ascii="Times New Roman" w:hAnsi="Times New Roman" w:cs="Times New Roman"/>
          <w:sz w:val="24"/>
          <w:szCs w:val="24"/>
        </w:rPr>
        <w:t>щего образования. В рамках воспитательной работы Школа: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2) реализует потенциал классного рук</w:t>
      </w:r>
      <w:r>
        <w:rPr>
          <w:rFonts w:ascii="Times New Roman" w:hAnsi="Times New Roman" w:cs="Times New Roman"/>
          <w:sz w:val="24"/>
          <w:szCs w:val="24"/>
        </w:rPr>
        <w:t>оводства в воспитании школьников, поддерживает активное участие классных сообществ в жизни Школы;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</w:t>
      </w:r>
      <w:r>
        <w:rPr>
          <w:rFonts w:ascii="Times New Roman" w:hAnsi="Times New Roman" w:cs="Times New Roman"/>
          <w:sz w:val="24"/>
          <w:szCs w:val="24"/>
        </w:rPr>
        <w:t>тательные возможности;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</w:t>
      </w:r>
      <w:r>
        <w:rPr>
          <w:rFonts w:ascii="Times New Roman" w:hAnsi="Times New Roman" w:cs="Times New Roman"/>
          <w:sz w:val="24"/>
          <w:szCs w:val="24"/>
        </w:rPr>
        <w:t>ообществ;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7) организует для школьников экскурсии,  походы и реализует их воспитательный потенциал;</w:t>
      </w:r>
    </w:p>
    <w:p w:rsidR="002B51C2" w:rsidRDefault="00564592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8) орга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низует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работу со школьниками, еженедельно проводятся занятия «Росси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мои горизонты»;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9) развивает предметно-эстетическую среду Школы и реализует ее воспитательные возможности;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10) организует работу с семьями школьников, их родителями </w:t>
      </w:r>
      <w:r>
        <w:rPr>
          <w:rFonts w:ascii="Times New Roman" w:hAnsi="Times New Roman" w:cs="Times New Roman"/>
          <w:sz w:val="24"/>
          <w:szCs w:val="24"/>
        </w:rPr>
        <w:t>или законными представителями, направленную на совместное решение проблем личностного развития детей.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реализации программы воспитания родители и ученики выражают удовлетворенность воспитательным процессом в Школе, что отразилось на результатах анк</w:t>
      </w:r>
      <w:r>
        <w:rPr>
          <w:rFonts w:ascii="Times New Roman" w:hAnsi="Times New Roman" w:cs="Times New Roman"/>
          <w:sz w:val="24"/>
          <w:szCs w:val="24"/>
        </w:rPr>
        <w:t>етирования, проведенного 20.12.2023.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</w:t>
      </w:r>
      <w:r>
        <w:rPr>
          <w:rFonts w:ascii="Times New Roman" w:hAnsi="Times New Roman" w:cs="Times New Roman"/>
          <w:sz w:val="24"/>
          <w:szCs w:val="24"/>
        </w:rPr>
        <w:t>су ГТО. Предложения родителей будут рассмотрены и при наличии возможностей Школы включены в календарный план воспитательной работы Школы на 2024/25 учебный год.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мае 2023 года Школа организовала проведение обучающих онлайн-семинаров для учителей совместно</w:t>
      </w:r>
      <w:r>
        <w:rPr>
          <w:rFonts w:ascii="Times New Roman" w:hAnsi="Times New Roman" w:cs="Times New Roman"/>
          <w:sz w:val="24"/>
          <w:szCs w:val="24"/>
        </w:rPr>
        <w:t xml:space="preserve"> со специалистами ЦНПМПР БРИОП по вопросам здорового образа жизни, диагностики неадекватного состояния учащихся. Школа проводила систематическую работу с родителями по разъяснению уголовной и административной ответственности за преступления и правонарушени</w:t>
      </w:r>
      <w:r>
        <w:rPr>
          <w:rFonts w:ascii="Times New Roman" w:hAnsi="Times New Roman" w:cs="Times New Roman"/>
          <w:sz w:val="24"/>
          <w:szCs w:val="24"/>
        </w:rPr>
        <w:t xml:space="preserve">я, связанные с незаконным оборотом наркотиков, незаконным потреблением наркотиков и других ПАВ,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 выполнением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родителями своих обязанностей по воспитанию детей.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 конкурсе социальных плакатов «Я против ПАВ»;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 конкурсе антинаркотической социальной рекламы;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часы и беседы на антинаркотические темы с 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книжная выставка «Я выбираю жизнь» в школьной библиотеке;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лекции с участием сотрудников МВД.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встреча с сотрудниками пожарной службы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естественнонаучное;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техническое;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художественное;</w:t>
      </w:r>
    </w:p>
    <w:p w:rsidR="002B51C2" w:rsidRDefault="0056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</w:t>
      </w:r>
      <w:r>
        <w:rPr>
          <w:rFonts w:ascii="Times New Roman" w:hAnsi="Times New Roman" w:cs="Times New Roman"/>
          <w:sz w:val="24"/>
          <w:szCs w:val="24"/>
        </w:rPr>
        <w:t>ивное;</w:t>
      </w: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направлений осуществлен на основании опроса обучающихся и родителей, который провели в сентябре 2023 года. По итогам опроса 67 обучающихся и 42 родителей выявили,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направление выбрало 21  процент, техническое — 18 проце</w:t>
      </w:r>
      <w:r>
        <w:rPr>
          <w:rFonts w:ascii="Times New Roman" w:hAnsi="Times New Roman" w:cs="Times New Roman"/>
          <w:sz w:val="24"/>
          <w:szCs w:val="24"/>
        </w:rPr>
        <w:t>нтов, художественное —29  процентов, физкультурно-спортивное — 32  процента.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Опрос родителей (законных представителей) обучающихся в сентябре 2024 года показал, что большая часть опрошенных в целом удовлетворены качеством дополнительного образования в Школ</w:t>
      </w:r>
      <w:r>
        <w:rPr>
          <w:rFonts w:ascii="Times New Roman" w:hAnsi="Times New Roman" w:cs="Times New Roman"/>
          <w:sz w:val="24"/>
          <w:szCs w:val="24"/>
        </w:rPr>
        <w:t>е.</w:t>
      </w:r>
      <w:proofErr w:type="gramEnd"/>
    </w:p>
    <w:p w:rsidR="002B51C2" w:rsidRDefault="002B51C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B51C2" w:rsidRDefault="00564592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1"/>
          <w:szCs w:val="21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251460</wp:posOffset>
            </wp:positionV>
            <wp:extent cx="6343650" cy="3562350"/>
            <wp:effectExtent l="0" t="0" r="0" b="0"/>
            <wp:wrapSquare wrapText="bothSides"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II. Оценка системы управления организацией</w:t>
      </w:r>
    </w:p>
    <w:p w:rsidR="002B51C2" w:rsidRDefault="002B51C2">
      <w:pPr>
        <w:spacing w:after="150" w:line="240" w:lineRule="auto"/>
        <w:rPr>
          <w:rFonts w:ascii="Arial" w:eastAsia="Times New Roman" w:hAnsi="Arial" w:cs="Arial"/>
          <w:i/>
          <w:iCs/>
          <w:sz w:val="21"/>
          <w:szCs w:val="21"/>
          <w:shd w:val="clear" w:color="auto" w:fill="FFFFCC"/>
          <w:lang w:eastAsia="ru-RU"/>
        </w:rPr>
      </w:pPr>
    </w:p>
    <w:p w:rsidR="002B51C2" w:rsidRDefault="002B51C2">
      <w:pPr>
        <w:spacing w:after="150" w:line="240" w:lineRule="auto"/>
        <w:rPr>
          <w:rFonts w:ascii="Arial" w:eastAsia="Times New Roman" w:hAnsi="Arial" w:cs="Arial"/>
          <w:i/>
          <w:iCs/>
          <w:sz w:val="21"/>
          <w:szCs w:val="21"/>
          <w:shd w:val="clear" w:color="auto" w:fill="FFFFCC"/>
          <w:lang w:eastAsia="ru-RU"/>
        </w:rPr>
      </w:pPr>
    </w:p>
    <w:p w:rsidR="002B51C2" w:rsidRDefault="002B51C2">
      <w:pPr>
        <w:spacing w:after="150" w:line="240" w:lineRule="auto"/>
        <w:rPr>
          <w:rFonts w:ascii="Arial" w:eastAsia="Times New Roman" w:hAnsi="Arial" w:cs="Arial"/>
          <w:i/>
          <w:iCs/>
          <w:sz w:val="21"/>
          <w:szCs w:val="21"/>
          <w:shd w:val="clear" w:color="auto" w:fill="FFFFCC"/>
          <w:lang w:eastAsia="ru-RU"/>
        </w:rPr>
      </w:pP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осуществляется на принципах единоначалия и самоуправления.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управления, действующие в Школе</w:t>
      </w:r>
    </w:p>
    <w:tbl>
      <w:tblPr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1"/>
        <w:gridCol w:w="6194"/>
      </w:tblGrid>
      <w:tr w:rsidR="002B51C2">
        <w:trPr>
          <w:jc w:val="center"/>
        </w:trPr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B51C2">
        <w:trPr>
          <w:jc w:val="center"/>
        </w:trPr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 обеспечивает эффективное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2B51C2">
        <w:trPr>
          <w:jc w:val="center"/>
        </w:trPr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B51C2">
        <w:trPr>
          <w:jc w:val="center"/>
        </w:trPr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отношений;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деятельности методических объединений</w:t>
            </w:r>
          </w:p>
        </w:tc>
      </w:tr>
      <w:tr w:rsidR="002B51C2">
        <w:trPr>
          <w:jc w:val="center"/>
        </w:trPr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 разработке и принятии коллективного договора, Правил трудового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распорядка, изменений и дополнений к ним;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 организации;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 Школе создано три предметных методических объединения: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общих гу</w:t>
      </w:r>
      <w:r>
        <w:rPr>
          <w:rFonts w:ascii="Times New Roman" w:hAnsi="Times New Roman" w:cs="Times New Roman"/>
          <w:sz w:val="24"/>
          <w:szCs w:val="24"/>
        </w:rPr>
        <w:t>манитарных и социально-экономических дисциплин;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 математических дисциплин;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педагогов начального образования.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целях учета мнения обучающихся и родителей (законных представителей) несовершеннолетних обучающихся в Школе дейс</w:t>
      </w:r>
      <w:r>
        <w:rPr>
          <w:rFonts w:ascii="Times New Roman" w:hAnsi="Times New Roman" w:cs="Times New Roman"/>
          <w:sz w:val="24"/>
          <w:szCs w:val="24"/>
        </w:rPr>
        <w:t>твуют Совет обучающихся и Совет родителей.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2022 Школа 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Теперь с кандидатами,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которые имеют электронные подписи, можно заключать тру</w:t>
      </w:r>
      <w:r>
        <w:rPr>
          <w:rFonts w:ascii="Times New Roman" w:hAnsi="Times New Roman" w:cs="Times New Roman"/>
          <w:sz w:val="24"/>
          <w:szCs w:val="24"/>
        </w:rPr>
        <w:t>довые договоры в электронном виде. Это упрощает кадровый контроль и формирование отчетности. </w:t>
      </w:r>
    </w:p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Оценка содержания и качества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показателей за 2020-2024годы</w:t>
      </w:r>
    </w:p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1"/>
        <w:gridCol w:w="2916"/>
        <w:gridCol w:w="1591"/>
        <w:gridCol w:w="1359"/>
        <w:gridCol w:w="1461"/>
        <w:gridCol w:w="1457"/>
      </w:tblGrid>
      <w:tr w:rsidR="002B51C2"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 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2B51C2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B51C2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15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1C2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B51C2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 на повторное обучение: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C2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5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51C2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B51C2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 получили аттестата: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C2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5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B51C2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Окончили школу с аттестатом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отличием: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C2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в основной школе</w:t>
            </w:r>
          </w:p>
        </w:tc>
        <w:tc>
          <w:tcPr>
            <w:tcW w:w="15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1C2" w:rsidRDefault="00564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Приведенная статистика показывает, что положительная </w:t>
      </w:r>
      <w:r>
        <w:rPr>
          <w:rFonts w:ascii="Times New Roman" w:hAnsi="Times New Roman" w:cs="Times New Roman"/>
          <w:sz w:val="24"/>
          <w:szCs w:val="24"/>
        </w:rPr>
        <w:t>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 ОВЗ и инвалидностью в 2023 году – 2 ребенка.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 качества знаний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начального общего образования по показателю «успеваемость» в 2023 году</w:t>
      </w:r>
    </w:p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8"/>
        <w:gridCol w:w="665"/>
        <w:gridCol w:w="560"/>
        <w:gridCol w:w="612"/>
        <w:gridCol w:w="1079"/>
        <w:gridCol w:w="613"/>
        <w:gridCol w:w="1275"/>
        <w:gridCol w:w="509"/>
        <w:gridCol w:w="615"/>
        <w:gridCol w:w="347"/>
        <w:gridCol w:w="744"/>
        <w:gridCol w:w="322"/>
        <w:gridCol w:w="803"/>
        <w:gridCol w:w="533"/>
      </w:tblGrid>
      <w:tr w:rsidR="002B51C2">
        <w:trPr>
          <w:trHeight w:val="307"/>
        </w:trPr>
        <w:tc>
          <w:tcPr>
            <w:tcW w:w="8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65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15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 них успевают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199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 успевают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Переведены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условно</w:t>
            </w:r>
          </w:p>
        </w:tc>
      </w:tr>
      <w:tr w:rsidR="002B51C2">
        <w:trPr>
          <w:trHeight w:val="306"/>
        </w:trPr>
        <w:tc>
          <w:tcPr>
            <w:tcW w:w="8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9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 них н/а</w:t>
            </w:r>
          </w:p>
        </w:tc>
        <w:tc>
          <w:tcPr>
            <w:tcW w:w="131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C2">
        <w:trPr>
          <w:trHeight w:val="434"/>
        </w:trPr>
        <w:tc>
          <w:tcPr>
            <w:tcW w:w="8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02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2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отметками «4» и «5»</w:t>
            </w:r>
          </w:p>
        </w:tc>
        <w:tc>
          <w:tcPr>
            <w:tcW w:w="603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 отметками «5»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17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0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1C2">
        <w:tc>
          <w:tcPr>
            <w:tcW w:w="8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5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1C2">
        <w:tc>
          <w:tcPr>
            <w:tcW w:w="8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5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1C2">
        <w:tc>
          <w:tcPr>
            <w:tcW w:w="8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1C2">
        <w:tc>
          <w:tcPr>
            <w:tcW w:w="8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5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5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</w:t>
      </w:r>
      <w:r>
        <w:rPr>
          <w:rFonts w:ascii="Times New Roman" w:hAnsi="Times New Roman" w:cs="Times New Roman"/>
          <w:sz w:val="24"/>
          <w:szCs w:val="24"/>
        </w:rPr>
        <w:t>обучающимися программ начального общего образования по показателю «успеваемость» в 2023 году с результатами освоения учащимися программ начального общего образования по показателю «успеваемость» в 2022 году, то можно отметить, что процент учащихся, окончив</w:t>
      </w:r>
      <w:r>
        <w:rPr>
          <w:rFonts w:ascii="Times New Roman" w:hAnsi="Times New Roman" w:cs="Times New Roman"/>
          <w:sz w:val="24"/>
          <w:szCs w:val="24"/>
        </w:rPr>
        <w:t>ших на «4» и «5», вырос на 1,6 процента (в 2022 был 58,4%), процент учащихся, окончивших на «5», вырос на 2 процента (в 2022 — 20,5%).</w:t>
      </w:r>
      <w:proofErr w:type="gramEnd"/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основного общего образования по показателю «успеваемость» в 2023 году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1"/>
        <w:gridCol w:w="993"/>
        <w:gridCol w:w="560"/>
        <w:gridCol w:w="491"/>
        <w:gridCol w:w="1079"/>
        <w:gridCol w:w="487"/>
        <w:gridCol w:w="1161"/>
        <w:gridCol w:w="423"/>
        <w:gridCol w:w="776"/>
        <w:gridCol w:w="322"/>
        <w:gridCol w:w="776"/>
        <w:gridCol w:w="323"/>
        <w:gridCol w:w="931"/>
        <w:gridCol w:w="322"/>
      </w:tblGrid>
      <w:tr w:rsidR="002B51C2">
        <w:tc>
          <w:tcPr>
            <w:tcW w:w="8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9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0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 них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успевают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Окончили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Окончили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16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 успевают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Переведены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условно</w:t>
            </w:r>
          </w:p>
        </w:tc>
      </w:tr>
      <w:tr w:rsidR="002B51C2">
        <w:tc>
          <w:tcPr>
            <w:tcW w:w="8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 них н/а</w:t>
            </w:r>
          </w:p>
        </w:tc>
        <w:tc>
          <w:tcPr>
            <w:tcW w:w="123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C2">
        <w:tc>
          <w:tcPr>
            <w:tcW w:w="8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отметками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«4» и «5»</w:t>
            </w:r>
          </w:p>
        </w:tc>
        <w:tc>
          <w:tcPr>
            <w:tcW w:w="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отметками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«5»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</w:t>
            </w:r>
          </w:p>
        </w:tc>
        <w:tc>
          <w:tcPr>
            <w:tcW w:w="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1C2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1C2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1C2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1C2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1C2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1C2"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 показателю «успеваемость» </w:t>
      </w:r>
      <w:r>
        <w:rPr>
          <w:rFonts w:ascii="Times New Roman" w:hAnsi="Times New Roman" w:cs="Times New Roman"/>
          <w:sz w:val="24"/>
          <w:szCs w:val="24"/>
        </w:rPr>
        <w:t>в 2023году с результатами освоения учащимися программ основного общего образования по показателю «успеваемость» в 2021 году, то можно отметить, что процент учащихся, окончивших на «4» и «5», окончивших на «5», стабилен.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Оценка организации учебного проц</w:t>
      </w:r>
      <w:r>
        <w:rPr>
          <w:rFonts w:ascii="Times New Roman" w:hAnsi="Times New Roman" w:cs="Times New Roman"/>
          <w:sz w:val="24"/>
          <w:szCs w:val="24"/>
        </w:rPr>
        <w:t>есса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 Школе осуществляется по пятидневной учебной</w:t>
      </w:r>
      <w:r>
        <w:rPr>
          <w:rFonts w:ascii="Times New Roman" w:hAnsi="Times New Roman" w:cs="Times New Roman"/>
          <w:sz w:val="24"/>
          <w:szCs w:val="24"/>
        </w:rPr>
        <w:t xml:space="preserve"> неделе для 1-9 х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>
        <w:rPr>
          <w:rFonts w:ascii="Times New Roman" w:hAnsi="Times New Roman" w:cs="Times New Roman"/>
          <w:sz w:val="24"/>
          <w:szCs w:val="24"/>
        </w:rPr>
        <w:t>Занятия проводятся в одну смену.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01.05.2022 Школа организовала изучение государственных символов России. В рабочие программы воспитания НОО, ООО включили ключевое общешкольное дело – церемонию поднятия Государственного флага Р</w:t>
      </w:r>
      <w:r>
        <w:rPr>
          <w:rFonts w:ascii="Times New Roman" w:hAnsi="Times New Roman" w:cs="Times New Roman"/>
          <w:sz w:val="24"/>
          <w:szCs w:val="24"/>
        </w:rPr>
        <w:t xml:space="preserve">оссии и исполнения Государственного гимна России в соответствии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Скорректировали ООП НОО в части рабочих программ по предметам «Окружающий мир</w:t>
      </w:r>
      <w:r>
        <w:rPr>
          <w:rFonts w:ascii="Times New Roman" w:hAnsi="Times New Roman" w:cs="Times New Roman"/>
          <w:sz w:val="24"/>
          <w:szCs w:val="24"/>
        </w:rPr>
        <w:t>» и «ОРКСЭ» – добавили темы по изучению государственных символов.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</w:t>
      </w:r>
      <w:r>
        <w:rPr>
          <w:rFonts w:ascii="Times New Roman" w:hAnsi="Times New Roman" w:cs="Times New Roman"/>
          <w:sz w:val="24"/>
          <w:szCs w:val="24"/>
        </w:rPr>
        <w:t xml:space="preserve">темам, позволяющим углубить знания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госсимволике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истории ее развития.</w:t>
      </w: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  реализовывать курс внеурочной деятельности «Разговоры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важном» в соответствии с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15.08.2022 № 03-1190.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 Оценка востребованности выпускников</w:t>
      </w:r>
    </w:p>
    <w:tbl>
      <w:tblPr>
        <w:tblW w:w="4500" w:type="pct"/>
        <w:tblInd w:w="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9"/>
        <w:gridCol w:w="851"/>
        <w:gridCol w:w="1571"/>
        <w:gridCol w:w="1439"/>
        <w:gridCol w:w="2705"/>
      </w:tblGrid>
      <w:tr w:rsidR="002B51C2">
        <w:tc>
          <w:tcPr>
            <w:tcW w:w="19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выпуска</w:t>
            </w:r>
          </w:p>
        </w:tc>
        <w:tc>
          <w:tcPr>
            <w:tcW w:w="646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школа</w:t>
            </w:r>
          </w:p>
        </w:tc>
      </w:tr>
      <w:tr w:rsidR="002B51C2">
        <w:tc>
          <w:tcPr>
            <w:tcW w:w="19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Перешли в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10-й класс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Школы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Перешли в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10-й класс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другой ОО</w:t>
            </w:r>
          </w:p>
        </w:tc>
        <w:tc>
          <w:tcPr>
            <w:tcW w:w="2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Поступили в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профессиональную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ОО</w:t>
            </w:r>
          </w:p>
        </w:tc>
      </w:tr>
      <w:tr w:rsidR="002B51C2"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B51C2"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51C2"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 Оценка качества кадрового обеспечения                                                                                                                                                                                      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 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 Шко</w:t>
      </w:r>
      <w:r>
        <w:rPr>
          <w:rFonts w:ascii="Times New Roman" w:hAnsi="Times New Roman" w:cs="Times New Roman"/>
          <w:sz w:val="24"/>
          <w:szCs w:val="24"/>
        </w:rPr>
        <w:t xml:space="preserve">ле работают 10 педагогов, из них 3 внешний совместитель. Из них 2 человека имеет среднее специальное образование. 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</w:t>
      </w:r>
      <w:r>
        <w:rPr>
          <w:rFonts w:ascii="Times New Roman" w:hAnsi="Times New Roman" w:cs="Times New Roman"/>
          <w:sz w:val="24"/>
          <w:szCs w:val="24"/>
        </w:rPr>
        <w:t>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сохра</w:t>
      </w:r>
      <w:r>
        <w:rPr>
          <w:rFonts w:ascii="Times New Roman" w:hAnsi="Times New Roman" w:cs="Times New Roman"/>
          <w:sz w:val="24"/>
          <w:szCs w:val="24"/>
        </w:rPr>
        <w:t>нение, укрепление и развитие кадрового потенциала;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уровня квалификации персонала.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кадровое обеспечение образовательной организации, являющееся одним </w:t>
      </w:r>
      <w:r>
        <w:rPr>
          <w:rFonts w:ascii="Times New Roman" w:hAnsi="Times New Roman" w:cs="Times New Roman"/>
          <w:sz w:val="24"/>
          <w:szCs w:val="24"/>
        </w:rPr>
        <w:t>из условий, которое определяет качество подготовки обучающихся, необходимо констатировать следующее: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кадровый потенциал Школы динамично развивается </w:t>
      </w:r>
      <w:r>
        <w:rPr>
          <w:rFonts w:ascii="Times New Roman" w:hAnsi="Times New Roman" w:cs="Times New Roman"/>
          <w:sz w:val="24"/>
          <w:szCs w:val="24"/>
        </w:rPr>
        <w:t>на основе целенаправленной работы по повышению квалификации педагогов. В 2023 курсы переквалификации проходят 5 педагогов.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соответствуют требованиям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педагога дополнительного образования, вступившего в силу с 01.09.2022. Это п</w:t>
      </w:r>
      <w:r>
        <w:rPr>
          <w:rFonts w:ascii="Times New Roman" w:hAnsi="Times New Roman" w:cs="Times New Roman"/>
          <w:sz w:val="24"/>
          <w:szCs w:val="24"/>
        </w:rPr>
        <w:t xml:space="preserve">озволило восполнить дефицит кадров и расширить направления дополнительного образования, реализуемых в школе. 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 Оценка качества учебно-методического и библиотечно-информационного обеспечения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библиотечного фонда — </w:t>
      </w:r>
      <w:r>
        <w:rPr>
          <w:rFonts w:ascii="Times New Roman" w:hAnsi="Times New Roman" w:cs="Times New Roman"/>
          <w:sz w:val="24"/>
          <w:szCs w:val="24"/>
        </w:rPr>
        <w:t>5721 единица;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 — 100 процентов;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обращаемость — 3578 единиц в год;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учебного фонда — 3131 единица.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библиотеки формируется за счет федерального, областного, местного бюджетов.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фонда и его использование</w:t>
      </w:r>
    </w:p>
    <w:tbl>
      <w:tblPr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0"/>
        <w:gridCol w:w="3754"/>
        <w:gridCol w:w="2540"/>
        <w:gridCol w:w="2861"/>
      </w:tblGrid>
      <w:tr w:rsidR="002B51C2">
        <w:trPr>
          <w:jc w:val="center"/>
        </w:trPr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литературы</w:t>
            </w:r>
          </w:p>
        </w:tc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ичество единиц в фонде</w:t>
            </w:r>
          </w:p>
        </w:tc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экземпляров</w:t>
            </w:r>
          </w:p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выдавалось за год</w:t>
            </w:r>
          </w:p>
        </w:tc>
      </w:tr>
      <w:tr w:rsidR="002B51C2">
        <w:trPr>
          <w:jc w:val="center"/>
        </w:trPr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</w:t>
            </w:r>
          </w:p>
        </w:tc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</w:tr>
      <w:tr w:rsidR="002B51C2">
        <w:trPr>
          <w:jc w:val="center"/>
        </w:trPr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</w:p>
        </w:tc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B51C2">
        <w:trPr>
          <w:jc w:val="center"/>
        </w:trPr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2B51C2">
        <w:trPr>
          <w:jc w:val="center"/>
        </w:trPr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</w:t>
            </w:r>
          </w:p>
        </w:tc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B51C2">
        <w:trPr>
          <w:jc w:val="center"/>
        </w:trPr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Языковедение, литературоведение</w:t>
            </w:r>
          </w:p>
        </w:tc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2B51C2">
        <w:trPr>
          <w:jc w:val="center"/>
        </w:trPr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gramEnd"/>
          </w:p>
        </w:tc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B51C2">
        <w:trPr>
          <w:jc w:val="center"/>
        </w:trPr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51C2">
        <w:trPr>
          <w:jc w:val="center"/>
        </w:trPr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Общественно-политическая</w:t>
            </w:r>
          </w:p>
        </w:tc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21.09.2022 № 858.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посещаемости библиотеки — 10 человек в день.</w:t>
      </w:r>
    </w:p>
    <w:p w:rsidR="002B51C2" w:rsidRDefault="002B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 Оценка материально-технической базы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</w:t>
      </w:r>
      <w:r>
        <w:rPr>
          <w:rFonts w:ascii="Times New Roman" w:hAnsi="Times New Roman" w:cs="Times New Roman"/>
          <w:sz w:val="24"/>
          <w:szCs w:val="24"/>
        </w:rPr>
        <w:t xml:space="preserve">ое обеспечение Школы позволяет реализовывать в полной мере образовательные программы.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 Школе оборудованы 11 учебных кабинета, 6 из них оснащен мультимедийной техникой, в том числе:</w:t>
      </w:r>
      <w:proofErr w:type="gramEnd"/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по физике;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по химии;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по биологии;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</w:t>
      </w:r>
      <w:r>
        <w:rPr>
          <w:rFonts w:ascii="Times New Roman" w:hAnsi="Times New Roman" w:cs="Times New Roman"/>
          <w:sz w:val="24"/>
          <w:szCs w:val="24"/>
        </w:rPr>
        <w:t>ьютерный класс;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2022 году Школа стала участником федеральной программы «Точка Роста» в рамках национального проекта «Образование». 10 сентября состоялось торжественное открытие Точки Роста, были оборудованы два кабинета – биологии и физики, в которых в т</w:t>
      </w:r>
      <w:r>
        <w:rPr>
          <w:rFonts w:ascii="Times New Roman" w:hAnsi="Times New Roman" w:cs="Times New Roman"/>
          <w:sz w:val="24"/>
          <w:szCs w:val="24"/>
        </w:rPr>
        <w:t>ечение 2022 года активно работали по основным программам и программам  дополнительного образования.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 первом этаже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столовая, пищеблок и спортивный зал.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школа стала участником программы Цифровая образовательная среда. В рамках прогр</w:t>
      </w:r>
      <w:r>
        <w:rPr>
          <w:rFonts w:ascii="Times New Roman" w:hAnsi="Times New Roman" w:cs="Times New Roman"/>
          <w:sz w:val="24"/>
          <w:szCs w:val="24"/>
        </w:rPr>
        <w:t>аммы школа получила 3 интерактивных доски, 19 ноутбуков, МФУ и др.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</w:t>
      </w:r>
      <w:r>
        <w:rPr>
          <w:rFonts w:ascii="Times New Roman" w:hAnsi="Times New Roman" w:cs="Times New Roman"/>
          <w:sz w:val="24"/>
          <w:szCs w:val="24"/>
        </w:rPr>
        <w:t>которые требуют модернизации. По итогам анализа учета микротравм работников школа отремонтировала напольное покрытие в 2 учебных кабинетах.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 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Школе утверждено </w:t>
      </w:r>
      <w:hyperlink r:id="rId11" w:anchor="/document/118/30289/" w:history="1">
        <w:r>
          <w:rPr>
            <w:rFonts w:ascii="Times New Roman" w:hAnsi="Times New Roman" w:cs="Times New Roman"/>
            <w:sz w:val="24"/>
            <w:szCs w:val="24"/>
          </w:rPr>
          <w:t>Положение о внутренней системе оценки качества образования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от 31.05.2019. По итогам оценки качества образования в 2023году выявлено, что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 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 результатам анкетирования 2023года выявлено, что количество родителей, которые удовлетворены общим качеством образования в Школе, — 63 процента, количество обучающихся, удовлетворенных образовательным процессом, — 6</w:t>
      </w:r>
      <w:r>
        <w:rPr>
          <w:rFonts w:ascii="Times New Roman" w:hAnsi="Times New Roman" w:cs="Times New Roman"/>
          <w:sz w:val="24"/>
          <w:szCs w:val="24"/>
        </w:rPr>
        <w:t xml:space="preserve">8 процентов. 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продолжила проводить в 2023 году мониторинг удовлетворенности родителей и учеников дистанционным обучением посредством опросов и анкетирования. Преимущества дистанционного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 мнению родителей: гибкость и технологичность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</w:t>
      </w:r>
      <w:r>
        <w:rPr>
          <w:rFonts w:ascii="Times New Roman" w:hAnsi="Times New Roman" w:cs="Times New Roman"/>
          <w:sz w:val="24"/>
          <w:szCs w:val="24"/>
        </w:rPr>
        <w:t>связь, а разобраться в новом материале без объяснений сложно.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1010285</wp:posOffset>
            </wp:positionV>
            <wp:extent cx="5819775" cy="4133850"/>
            <wp:effectExtent l="0" t="0" r="0" b="0"/>
            <wp:wrapSquare wrapText="bothSides"/>
            <wp:docPr id="2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50% родителей отметили, что во время дистанционного обучения оценки ребенка не изменились, третья часть — что они улучшились, и 4% — что ухудшились. Хотя в целом формальная успеваемость осталас</w:t>
      </w:r>
      <w:r>
        <w:rPr>
          <w:rFonts w:ascii="Times New Roman" w:hAnsi="Times New Roman" w:cs="Times New Roman"/>
          <w:sz w:val="24"/>
          <w:szCs w:val="24"/>
        </w:rPr>
        <w:t xml:space="preserve">ь прежней, 45% опрошенных считают, что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переход на дистанционное образование негативно отразилось на уровне знаний школьников.</w:t>
      </w:r>
    </w:p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показателей деятельности организации</w:t>
      </w:r>
    </w:p>
    <w:p w:rsidR="002B51C2" w:rsidRDefault="0056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приведены по состоянию на 30 декабря 2022 года.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83"/>
        <w:gridCol w:w="1405"/>
        <w:gridCol w:w="1817"/>
      </w:tblGrid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2B51C2">
        <w:tc>
          <w:tcPr>
            <w:tcW w:w="93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учащихся по образовательной программе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 (34%)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ГИА выпускников 9 класса по русскому языку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ГИА выпускников 9 класса по математике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 класса, которые получили неудовлетворительные результаты на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ГИА по русскому языку, от общей численности выпускников 9 класса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выпускников 11 класса, которые не получили аттестаты,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 общей численности выпускников 11 класса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(удельный вес) учащ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(49%)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в 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13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C2">
        <w:tc>
          <w:tcPr>
            <w:tcW w:w="61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регионального уровня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(8%)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федерального уровня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(44%)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международного уровня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(1,2%)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учащихся по программам с углубленным изучением отдельных учебных предметов от общей численности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учащихся по программам с применением дистанционных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технологий, электронного обучения от общей численности обучающихся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 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C2">
        <w:tc>
          <w:tcPr>
            <w:tcW w:w="61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с высшим образованием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высшим педагогическим образованием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средним профессиональным образованием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средним профессиональным педагогическим образованием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C2">
        <w:tc>
          <w:tcPr>
            <w:tcW w:w="61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с высшей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первой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(36%)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 общей численности таких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работников с педагогическим стажем:</w:t>
            </w:r>
          </w:p>
        </w:tc>
        <w:tc>
          <w:tcPr>
            <w:tcW w:w="13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C2">
        <w:tc>
          <w:tcPr>
            <w:tcW w:w="61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до 5 лет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(27%)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больше 30 лет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(36%)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C2">
        <w:tc>
          <w:tcPr>
            <w:tcW w:w="61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до 30 лет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от 55 лет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(18%)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(100%)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(100%)</w:t>
            </w:r>
          </w:p>
        </w:tc>
      </w:tr>
      <w:tr w:rsidR="002B51C2">
        <w:tc>
          <w:tcPr>
            <w:tcW w:w="93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Инфраструктура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компьютеров в расчете на одного учащегося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 школе системы электронного документооб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орота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B51C2">
        <w:tc>
          <w:tcPr>
            <w:tcW w:w="61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рабочих мест для работы на компьютере или ноутбуке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медиатеки</w:t>
            </w:r>
            <w:proofErr w:type="spellEnd"/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ск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анирования и распознавания текста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 выхода в 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 библиотечных компьютеров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 системы контроля распечатки материалов</w:t>
            </w:r>
          </w:p>
        </w:tc>
        <w:tc>
          <w:tcPr>
            <w:tcW w:w="13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1C2" w:rsidRDefault="002B51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от общей численности обучающихся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(100%)</w:t>
            </w:r>
          </w:p>
        </w:tc>
      </w:tr>
      <w:tr w:rsidR="002B51C2">
        <w:tc>
          <w:tcPr>
            <w:tcW w:w="6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51C2" w:rsidRDefault="005645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</w:tbl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3" w:anchor="/document/99/566085656/" w:history="1">
        <w:r>
          <w:rPr>
            <w:rFonts w:ascii="Times New Roman" w:hAnsi="Times New Roman" w:cs="Times New Roman"/>
            <w:sz w:val="24"/>
            <w:szCs w:val="24"/>
          </w:rPr>
          <w:t>СП 2.4.3648-20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</w:t>
      </w:r>
      <w:r>
        <w:rPr>
          <w:rFonts w:ascii="Times New Roman" w:hAnsi="Times New Roman" w:cs="Times New Roman"/>
          <w:sz w:val="24"/>
          <w:szCs w:val="24"/>
        </w:rPr>
        <w:t>бразования.</w:t>
      </w:r>
    </w:p>
    <w:p w:rsidR="002B51C2" w:rsidRDefault="0056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</w:t>
      </w:r>
      <w:r>
        <w:rPr>
          <w:rFonts w:ascii="Times New Roman" w:hAnsi="Times New Roman" w:cs="Times New Roman"/>
          <w:sz w:val="24"/>
          <w:szCs w:val="24"/>
        </w:rPr>
        <w:t>ений обучающихся.</w:t>
      </w:r>
    </w:p>
    <w:p w:rsidR="002B51C2" w:rsidRDefault="002B51C2">
      <w:pPr>
        <w:rPr>
          <w:rFonts w:ascii="Times New Roman" w:hAnsi="Times New Roman" w:cs="Times New Roman"/>
          <w:sz w:val="24"/>
          <w:szCs w:val="24"/>
        </w:rPr>
      </w:pPr>
    </w:p>
    <w:sectPr w:rsidR="002B51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1D90"/>
    <w:multiLevelType w:val="multilevel"/>
    <w:tmpl w:val="B2E825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2"/>
    <w:rsid w:val="002B51C2"/>
    <w:rsid w:val="005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36E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736E4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blank-referencetitle">
    <w:name w:val="blank-reference__title"/>
    <w:basedOn w:val="a2"/>
    <w:qFormat/>
    <w:rsid w:val="00736E49"/>
  </w:style>
  <w:style w:type="character" w:customStyle="1" w:styleId="-">
    <w:name w:val="Интернет-ссылка"/>
    <w:basedOn w:val="a2"/>
    <w:uiPriority w:val="99"/>
    <w:unhideWhenUsed/>
    <w:rsid w:val="00736E49"/>
    <w:rPr>
      <w:color w:val="0000FF"/>
      <w:u w:val="single"/>
    </w:rPr>
  </w:style>
  <w:style w:type="character" w:customStyle="1" w:styleId="a5">
    <w:name w:val="Посещённая гиперссылка"/>
    <w:basedOn w:val="a2"/>
    <w:uiPriority w:val="99"/>
    <w:semiHidden/>
    <w:unhideWhenUsed/>
    <w:rsid w:val="00736E49"/>
    <w:rPr>
      <w:color w:val="800080"/>
      <w:u w:val="single"/>
    </w:rPr>
  </w:style>
  <w:style w:type="character" w:customStyle="1" w:styleId="attach-text">
    <w:name w:val="attach-text"/>
    <w:basedOn w:val="a2"/>
    <w:qFormat/>
    <w:rsid w:val="00736E49"/>
  </w:style>
  <w:style w:type="character" w:customStyle="1" w:styleId="fill">
    <w:name w:val="fill"/>
    <w:basedOn w:val="a2"/>
    <w:qFormat/>
    <w:rsid w:val="00736E49"/>
  </w:style>
  <w:style w:type="character" w:customStyle="1" w:styleId="sfwc">
    <w:name w:val="sfwc"/>
    <w:basedOn w:val="a2"/>
    <w:qFormat/>
    <w:rsid w:val="00736E49"/>
  </w:style>
  <w:style w:type="character" w:customStyle="1" w:styleId="tooltippoint">
    <w:name w:val="tooltip__point"/>
    <w:basedOn w:val="a2"/>
    <w:qFormat/>
    <w:rsid w:val="00736E49"/>
  </w:style>
  <w:style w:type="character" w:customStyle="1" w:styleId="tooltiptext">
    <w:name w:val="tooltip_text"/>
    <w:basedOn w:val="a2"/>
    <w:qFormat/>
    <w:rsid w:val="00736E49"/>
  </w:style>
  <w:style w:type="character" w:styleId="a6">
    <w:name w:val="Strong"/>
    <w:basedOn w:val="a2"/>
    <w:uiPriority w:val="22"/>
    <w:qFormat/>
    <w:rsid w:val="00736E49"/>
    <w:rPr>
      <w:b/>
      <w:bCs/>
    </w:rPr>
  </w:style>
  <w:style w:type="character" w:customStyle="1" w:styleId="recommendations-v4-block">
    <w:name w:val="recommendations-v4-block"/>
    <w:basedOn w:val="a2"/>
    <w:qFormat/>
    <w:rsid w:val="00736E49"/>
  </w:style>
  <w:style w:type="character" w:customStyle="1" w:styleId="recommendations-v4-imagewrapper">
    <w:name w:val="recommendations-v4-image__wrapper"/>
    <w:basedOn w:val="a2"/>
    <w:qFormat/>
    <w:rsid w:val="00736E49"/>
  </w:style>
  <w:style w:type="character" w:customStyle="1" w:styleId="a7">
    <w:name w:val="Текст выноски Знак"/>
    <w:basedOn w:val="a2"/>
    <w:link w:val="a8"/>
    <w:uiPriority w:val="99"/>
    <w:semiHidden/>
    <w:qFormat/>
    <w:rsid w:val="008D0491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sonormal0">
    <w:name w:val="msonormal"/>
    <w:basedOn w:val="a"/>
    <w:qFormat/>
    <w:rsid w:val="00736E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downloadtext">
    <w:name w:val="doc-download__text"/>
    <w:basedOn w:val="a"/>
    <w:qFormat/>
    <w:rsid w:val="00736E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736E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8D0491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11">
    <w:name w:val="Нет списка1"/>
    <w:uiPriority w:val="99"/>
    <w:semiHidden/>
    <w:unhideWhenUsed/>
    <w:qFormat/>
    <w:rsid w:val="00736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36E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736E4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blank-referencetitle">
    <w:name w:val="blank-reference__title"/>
    <w:basedOn w:val="a2"/>
    <w:qFormat/>
    <w:rsid w:val="00736E49"/>
  </w:style>
  <w:style w:type="character" w:customStyle="1" w:styleId="-">
    <w:name w:val="Интернет-ссылка"/>
    <w:basedOn w:val="a2"/>
    <w:uiPriority w:val="99"/>
    <w:unhideWhenUsed/>
    <w:rsid w:val="00736E49"/>
    <w:rPr>
      <w:color w:val="0000FF"/>
      <w:u w:val="single"/>
    </w:rPr>
  </w:style>
  <w:style w:type="character" w:customStyle="1" w:styleId="a5">
    <w:name w:val="Посещённая гиперссылка"/>
    <w:basedOn w:val="a2"/>
    <w:uiPriority w:val="99"/>
    <w:semiHidden/>
    <w:unhideWhenUsed/>
    <w:rsid w:val="00736E49"/>
    <w:rPr>
      <w:color w:val="800080"/>
      <w:u w:val="single"/>
    </w:rPr>
  </w:style>
  <w:style w:type="character" w:customStyle="1" w:styleId="attach-text">
    <w:name w:val="attach-text"/>
    <w:basedOn w:val="a2"/>
    <w:qFormat/>
    <w:rsid w:val="00736E49"/>
  </w:style>
  <w:style w:type="character" w:customStyle="1" w:styleId="fill">
    <w:name w:val="fill"/>
    <w:basedOn w:val="a2"/>
    <w:qFormat/>
    <w:rsid w:val="00736E49"/>
  </w:style>
  <w:style w:type="character" w:customStyle="1" w:styleId="sfwc">
    <w:name w:val="sfwc"/>
    <w:basedOn w:val="a2"/>
    <w:qFormat/>
    <w:rsid w:val="00736E49"/>
  </w:style>
  <w:style w:type="character" w:customStyle="1" w:styleId="tooltippoint">
    <w:name w:val="tooltip__point"/>
    <w:basedOn w:val="a2"/>
    <w:qFormat/>
    <w:rsid w:val="00736E49"/>
  </w:style>
  <w:style w:type="character" w:customStyle="1" w:styleId="tooltiptext">
    <w:name w:val="tooltip_text"/>
    <w:basedOn w:val="a2"/>
    <w:qFormat/>
    <w:rsid w:val="00736E49"/>
  </w:style>
  <w:style w:type="character" w:styleId="a6">
    <w:name w:val="Strong"/>
    <w:basedOn w:val="a2"/>
    <w:uiPriority w:val="22"/>
    <w:qFormat/>
    <w:rsid w:val="00736E49"/>
    <w:rPr>
      <w:b/>
      <w:bCs/>
    </w:rPr>
  </w:style>
  <w:style w:type="character" w:customStyle="1" w:styleId="recommendations-v4-block">
    <w:name w:val="recommendations-v4-block"/>
    <w:basedOn w:val="a2"/>
    <w:qFormat/>
    <w:rsid w:val="00736E49"/>
  </w:style>
  <w:style w:type="character" w:customStyle="1" w:styleId="recommendations-v4-imagewrapper">
    <w:name w:val="recommendations-v4-image__wrapper"/>
    <w:basedOn w:val="a2"/>
    <w:qFormat/>
    <w:rsid w:val="00736E49"/>
  </w:style>
  <w:style w:type="character" w:customStyle="1" w:styleId="a7">
    <w:name w:val="Текст выноски Знак"/>
    <w:basedOn w:val="a2"/>
    <w:link w:val="a8"/>
    <w:uiPriority w:val="99"/>
    <w:semiHidden/>
    <w:qFormat/>
    <w:rsid w:val="008D0491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sonormal0">
    <w:name w:val="msonormal"/>
    <w:basedOn w:val="a"/>
    <w:qFormat/>
    <w:rsid w:val="00736E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downloadtext">
    <w:name w:val="doc-download__text"/>
    <w:basedOn w:val="a"/>
    <w:qFormat/>
    <w:rsid w:val="00736E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736E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8D0491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11">
    <w:name w:val="Нет списка1"/>
    <w:uiPriority w:val="99"/>
    <w:semiHidden/>
    <w:unhideWhenUsed/>
    <w:qFormat/>
    <w:rsid w:val="0073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0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000000"/>
                </a:solidFill>
                <a:latin typeface="Calibri"/>
              </a:rPr>
              <a:t>Удовлетворенность дополнительным образованием в 2023 году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6480">
          <a:noFill/>
        </a:ln>
      </c:spPr>
    </c:floor>
    <c:sideWall>
      <c:thickness val="0"/>
      <c:spPr>
        <a:noFill/>
        <a:ln w="6480">
          <a:noFill/>
        </a:ln>
      </c:spPr>
    </c:sideWall>
    <c:backWall>
      <c:thickness val="0"/>
      <c:spPr>
        <a:noFill/>
        <a:ln w="648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Полностью удовлетворены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Ребенок не посещает занятия по доп. Образованию в школе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</c:strCache>
            </c:strRef>
          </c:cat>
          <c:val>
            <c:numRef>
              <c:f>3</c:f>
              <c:numCache>
                <c:formatCode>General</c:formatCode>
                <c:ptCount val="4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2865024"/>
        <c:axId val="174916160"/>
        <c:axId val="0"/>
      </c:bar3DChart>
      <c:catAx>
        <c:axId val="252865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74916160"/>
        <c:crosses val="autoZero"/>
        <c:auto val="1"/>
        <c:lblAlgn val="ctr"/>
        <c:lblOffset val="100"/>
        <c:noMultiLvlLbl val="0"/>
      </c:catAx>
      <c:valAx>
        <c:axId val="17491616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52865024"/>
        <c:crosses val="autoZero"/>
        <c:crossBetween val="between"/>
      </c:valAx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0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400" b="0" strike="noStrike" spc="-1">
                <a:solidFill>
                  <a:srgbClr val="000000"/>
                </a:solidFill>
                <a:latin typeface="Times New Roman"/>
              </a:rPr>
              <a:t>Степень удовлетворенности родителей дистанционным обучением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6480">
          <a:noFill/>
        </a:ln>
      </c:spPr>
    </c:floor>
    <c:sideWall>
      <c:thickness val="0"/>
      <c:spPr>
        <a:noFill/>
        <a:ln w="6480">
          <a:noFill/>
        </a:ln>
      </c:spPr>
    </c:sideWall>
    <c:backWall>
      <c:thickness val="0"/>
      <c:spPr>
        <a:noFill/>
        <a:ln w="648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Полностью удовлетворены дистанционным обучением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Частично удовлетворены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119360"/>
        <c:axId val="174917888"/>
        <c:axId val="0"/>
      </c:bar3DChart>
      <c:catAx>
        <c:axId val="143119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74917888"/>
        <c:crosses val="autoZero"/>
        <c:auto val="1"/>
        <c:lblAlgn val="ctr"/>
        <c:lblOffset val="100"/>
        <c:noMultiLvlLbl val="0"/>
      </c:catAx>
      <c:valAx>
        <c:axId val="17491788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143119360"/>
        <c:crosses val="autoZero"/>
        <c:crossBetween val="between"/>
      </c:valAx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3861</Words>
  <Characters>22008</Characters>
  <Application>Microsoft Office Word</Application>
  <DocSecurity>0</DocSecurity>
  <Lines>183</Lines>
  <Paragraphs>51</Paragraphs>
  <ScaleCrop>false</ScaleCrop>
  <Company/>
  <LinksUpToDate>false</LinksUpToDate>
  <CharactersWithSpaces>25818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н</dc:creator>
  <dc:description/>
  <cp:lastModifiedBy>User</cp:lastModifiedBy>
  <cp:revision>13</cp:revision>
  <cp:lastPrinted>2023-04-18T07:08:00Z</cp:lastPrinted>
  <dcterms:created xsi:type="dcterms:W3CDTF">2023-03-02T03:49:00Z</dcterms:created>
  <dcterms:modified xsi:type="dcterms:W3CDTF">2024-12-05T08:17:00Z</dcterms:modified>
  <dc:language>ru-RU</dc:language>
</cp:coreProperties>
</file>